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5C" w:rsidRDefault="00E61C19">
      <w:pPr>
        <w:widowControl/>
        <w:spacing w:before="100" w:beforeAutospacing="1" w:after="100" w:afterAutospacing="1" w:line="620" w:lineRule="exact"/>
        <w:jc w:val="center"/>
        <w:rPr>
          <w:rFonts w:ascii="仿宋" w:eastAsia="仿宋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2016年度福建师范大学部门决算说明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按照《福建省财政厅关于批复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福建师范大学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2016年度部门决算的通知》（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闽财决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〔2017〕87 号）及《福建省财政厅关于印发福建省预决算公开操作规程的通知》(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闽财预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〔2017〕38号)的要求，现将我校2016年度部门决算说明如下: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一、学校主要职责</w:t>
      </w:r>
    </w:p>
    <w:p w:rsidR="00A93D5C" w:rsidRDefault="00E61C19" w:rsidP="00E61C19">
      <w:pPr>
        <w:tabs>
          <w:tab w:val="left" w:pos="7170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福建师范大学是以公益性为目的的高等教育事业单位法人，坚持社会主义办学方向，全面贯彻国家教育方针，遵循高等教育规律，以人才培养为中心工作，开展教育教学、科学研究、社会服务和文化传承创新，为国家、区域的经济社会发展培养各类人才。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二、部门预算单位基本情况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福建师范大学包括党政机构23个，教学机构27个，教学辅助机构5个，其中：列入2016年部门决算编制范围的单位详细情况见下表: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25"/>
        <w:gridCol w:w="2131"/>
        <w:gridCol w:w="2131"/>
      </w:tblGrid>
      <w:tr w:rsidR="00A93D5C">
        <w:trPr>
          <w:trHeight w:val="66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C" w:rsidRDefault="00E61C19" w:rsidP="00E61C19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C" w:rsidRDefault="00E61C19" w:rsidP="00E61C19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经费性质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C" w:rsidRDefault="00E61C19" w:rsidP="00E61C19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人员编制数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5C" w:rsidRDefault="00E61C19" w:rsidP="00E61C19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在职人数</w:t>
            </w:r>
          </w:p>
        </w:tc>
      </w:tr>
      <w:tr w:rsidR="00A93D5C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C" w:rsidRDefault="00E61C19" w:rsidP="00E61C19">
            <w:pPr>
              <w:widowControl/>
              <w:tabs>
                <w:tab w:val="left" w:pos="7513"/>
              </w:tabs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福建师范大学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C" w:rsidRDefault="00E61C19" w:rsidP="00E61C19">
            <w:pPr>
              <w:widowControl/>
              <w:tabs>
                <w:tab w:val="left" w:pos="7513"/>
              </w:tabs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全额拨款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C" w:rsidRDefault="00E61C19" w:rsidP="00E61C19">
            <w:pPr>
              <w:widowControl/>
              <w:tabs>
                <w:tab w:val="left" w:pos="7513"/>
              </w:tabs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3418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5C" w:rsidRDefault="00E61C19" w:rsidP="00E61C19">
            <w:pPr>
              <w:widowControl/>
              <w:tabs>
                <w:tab w:val="left" w:pos="7513"/>
              </w:tabs>
              <w:adjustRightInd w:val="0"/>
              <w:snapToGrid w:val="0"/>
              <w:spacing w:before="100" w:beforeAutospacing="1" w:after="100" w:afterAutospacing="1"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2769</w:t>
            </w:r>
          </w:p>
        </w:tc>
      </w:tr>
    </w:tbl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三、学校主要工作总结</w:t>
      </w:r>
    </w:p>
    <w:p w:rsidR="00A93D5C" w:rsidRDefault="00E61C19" w:rsidP="00E61C19">
      <w:pPr>
        <w:spacing w:line="600" w:lineRule="exact"/>
        <w:ind w:firstLineChars="250" w:firstLine="80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lastRenderedPageBreak/>
        <w:t>2016年，我校紧紧围绕建设高水平大学这条主线，坚持深化综合改革，创新办学体制机制，扎实推进内涵发展，各项工作成效显著。</w:t>
      </w:r>
    </w:p>
    <w:p w:rsidR="00A93D5C" w:rsidRDefault="00E61C19" w:rsidP="00E61C19">
      <w:pPr>
        <w:spacing w:line="600" w:lineRule="exact"/>
        <w:ind w:firstLineChars="250" w:firstLine="803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ar"/>
        </w:rPr>
        <w:t>一是综合实力迈出新步伐。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化学学科进入ESI全球前1%学科行列，“地球与环境科学”学科进入自然指数（Nature Index）领域中国内地大学排行50强。优秀学科数、优秀率、平均分在省重点学科考核验收中，均居福建省属高校首位。获批福建省重点马克思主义学院。首次进入英国QS《亚洲大学排行榜》前350强，跃居中国管理科学院“2017中国大学评价”第86位，在中国校友会网《2017中国大学评价研究报告》榜单中，跃居中国非211工程大学排行榜首位、师范院校第9位、全国高校第75位。</w:t>
      </w:r>
    </w:p>
    <w:p w:rsidR="00A93D5C" w:rsidRDefault="00E61C19" w:rsidP="00E61C19">
      <w:pPr>
        <w:spacing w:line="600" w:lineRule="exact"/>
        <w:ind w:firstLineChars="250" w:firstLine="803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ar"/>
        </w:rPr>
        <w:t>二是人才培养取得新成效。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3个专业群被列为省级应用型人才培养专业群建设试点项目，10个专业获批2016年省级服务产业特色专业建设项目。出台深化创新创业教育改革实施意见。新增2个本一批招生省份。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思政课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入选教育部“精彩一课”，全国《形势与政策》课教学展示一等奖。获批福建省高校中华优秀传统文化教育示范基地，新增2个省级实验教学示范中心。开设MOOCs课程71门，选课学生近万人次。徐云丽、邓薇2名同学荣获里约奥运会冠军。学生连续三届荣获全国“挑战杯”金奖、连续四年亮相央视“五月的鲜花”舞台。</w:t>
      </w:r>
    </w:p>
    <w:p w:rsidR="00A93D5C" w:rsidRDefault="00E61C19" w:rsidP="00E61C19">
      <w:pPr>
        <w:spacing w:line="600" w:lineRule="exact"/>
        <w:ind w:firstLineChars="250" w:firstLine="803"/>
        <w:rPr>
          <w:rFonts w:ascii="仿宋" w:eastAsia="仿宋" w:hAnsi="宋体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ar"/>
        </w:rPr>
        <w:t>三是师资建设实现新突破。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成立高层次人才工作办公室，出台《杰出人才项目专项津贴实施办法》《“宝琛计划”中青年人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lastRenderedPageBreak/>
        <w:t>才支持计划实施办法》，</w:t>
      </w:r>
      <w:r>
        <w:rPr>
          <w:rFonts w:ascii="仿宋_GB2312" w:eastAsia="仿宋_GB2312" w:hAnsi="仿宋_GB2312" w:cs="仿宋_GB2312"/>
          <w:sz w:val="32"/>
          <w:szCs w:val="32"/>
        </w:rPr>
        <w:t>向全球</w:t>
      </w:r>
      <w:r>
        <w:rPr>
          <w:rFonts w:ascii="仿宋_GB2312" w:eastAsia="仿宋_GB2312" w:hAnsi="仿宋_GB2312" w:cs="仿宋_GB2312" w:hint="eastAsia"/>
          <w:sz w:val="32"/>
          <w:szCs w:val="32"/>
        </w:rPr>
        <w:t>发布</w:t>
      </w:r>
      <w:r>
        <w:rPr>
          <w:rFonts w:ascii="仿宋_GB2312" w:eastAsia="仿宋_GB2312" w:hAnsi="仿宋_GB2312" w:cs="仿宋_GB2312"/>
          <w:sz w:val="32"/>
          <w:szCs w:val="32"/>
        </w:rPr>
        <w:t>“百万年薪、千万资助”招聘公告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引进“千人计划”人选1人（王德民），获国家杰出青年科学基金项目1人（黄志群），全国文化名家暨“四个一批”人才、国家特支计划哲学社会科学领军人才2人（黄茂兴、余文森），“长江学者奖励计划”青年学者2人（方千华、李小荣），全国高校思想政治理论课年度影响力人物1人（杨林香）。</w:t>
      </w:r>
    </w:p>
    <w:p w:rsidR="00A93D5C" w:rsidRDefault="00E61C19" w:rsidP="00E61C19">
      <w:pPr>
        <w:spacing w:line="600" w:lineRule="exact"/>
        <w:ind w:firstLineChars="250" w:firstLine="803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三是科研创新再上新台阶。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科研经费首次突破1.5亿元，文理各突破五千万元和一亿元大关。获国家级社科项目33项，其中中央“马工程”重大项目、国家社科基金重大项目、教育部哲学社科重大课题攻关项目6项，取得历史性突破。社会科学优秀成果奖69项，国家自然科学基金项目42项、福建省科学技术奖励7项。首获亚洲开发银行（ADB）技术援助项目。成立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校技术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转移中心，筹办实体性质的中国（福建）生态文明建设研究院，2个研究机构入选首批“中国智库索引”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来源智库名单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。学校位居2016年中国大学国家社科奖励排行榜第20位。</w:t>
      </w:r>
    </w:p>
    <w:p w:rsidR="00A93D5C" w:rsidRDefault="00E61C19" w:rsidP="00E61C19">
      <w:pPr>
        <w:spacing w:line="600" w:lineRule="exact"/>
        <w:ind w:firstLineChars="250" w:firstLine="803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ar"/>
        </w:rPr>
        <w:t>四是改革开放呈现新气象。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在人事、教学、科研等一些重点领域和关键环节取得新进展。颁布实施《学术委员会章程》，校领导全部退出学术委员会，提高一线教师构成比例。编制实施学校《“十三五”事业发展规划》。与英国等国家和地区的6个大学或研究机构建立新的合作关系。师生出国（境）交流1400多人次。获国家留学基金委“优本”项目4项。首次主办冲绳县政府在大陆地区的专场招聘会，首次组织汉语国际教育本科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专业赴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lastRenderedPageBreak/>
        <w:t>外实习。继续办好多边教育事业，积极推动中华文化走出去。</w:t>
      </w:r>
    </w:p>
    <w:p w:rsidR="00A93D5C" w:rsidRDefault="00E61C19" w:rsidP="00E61C19">
      <w:pPr>
        <w:spacing w:line="600" w:lineRule="exact"/>
        <w:ind w:firstLineChars="250" w:firstLine="803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ar"/>
        </w:rPr>
        <w:t>五是和谐发展焕发新面貌。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投入555.83万元用于调增退休人员养老金，筹资1184.25万元用于调整在职人员基本工资标准和增加离休人员离休费等。投入各类学生经费1.33亿元，服务学生健康成长。获评全国心理教育先进集体、全国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十佳易班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工作站等。推出公益电影《扶郎花开》，获评2016“中国梦”原创网络视听优秀作品。加快实现无线</w:t>
      </w:r>
      <w:proofErr w:type="spell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wifi</w:t>
      </w:r>
      <w:proofErr w:type="spell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全覆盖，完善办公自动化系统、校园能源智能管理平台和智能用电监测系统。加强电子文献数据库建设，启动科技楼、领先楼建设。坚持不懈抓学校安全标准化建设，校园持续保持和谐稳定，被省教育厅评为5A平安校园。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四、2016年决算收支总体情况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2016年部门年初结转和结余66125.37万元，本年收入 145921.42 万元，本年支出129756.74 万元，事业基金弥补收支差额0万元，结余分配13554.7万元，年末结转和结余  68735.35万元。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（一）2016本年收入145921.42万元，比2015年决算数减少3784.87 万元，下降2.53 ％，具体情况如下：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1. 财政拨款收入78705.24万元，其中政府性基金0 万元。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2. 事业收入59726.78万元。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3. 经营收入3748.58万元。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4. 上级补助收入0万元。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lastRenderedPageBreak/>
        <w:t>5. 附属单位上缴收入0万元。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6. 其他收入3740.82万元。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（二）2016本年支出129756.74万元，比2015年决算数增加7246.58万元，增长5.92％，具体情况如下：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1. 基本支出81709.35万元。其中，人员支出47031.95万元，公用支出13067.27万元。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2. 项目支出44360.07万元。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3. 上缴上级支出0万元。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4. 经营支出3577.32万元。</w:t>
      </w:r>
    </w:p>
    <w:p w:rsidR="00A93D5C" w:rsidRDefault="00E61C19" w:rsidP="00E61C19">
      <w:pPr>
        <w:spacing w:line="600" w:lineRule="exact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5. 对附属单位补助支出110万元。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五、公共财政拨款支出决算情况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2016年公共财政拨款支出80023.18万元，比2015年决算数增加10329.6万元，增长14.82%，具体情况如下(按项级科目统计)：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（一）一般公共服务支出471.51万元，较2015年决算数增加439.3万元，增长1363.86%。主要原因是人才专项经费支出增加。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（二）教育支出71293.55万元，较2015年决算数增加5536.33万元，增长8.42%。主要原因是学校加大统筹力度，用于高水平大学建设配套项目，加大对教学、人才队伍建设、人才引进和培养、学生创新创业等建设。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（三）科学技术支出1094.43万元，较2015年决算数减少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lastRenderedPageBreak/>
        <w:t>663.61万元，下降37.75 %。主要原因财政性科研经费减少。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（四）文化体育与传媒支出55.97万元，较2015年决算数减少390.23万元，下降87.46 %。主要原因是财政性文化体育与传媒支出经费减少。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（五）社会保障和就业支出4204.12万元，较2015年决算数增加3798.84万元，增长937.34 %。主要原因是增加养老保险开支。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（六）医疗卫生与计划生育支出2660.59万元，较2015年决算数增加1823.18万元，增长217.72 %。主要原因是追加在职人员2015-2016年医疗、工伤、生育保险。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（七）农林水事务支出148.16万元，较2015年决算数增加89.91万元，增长154.35 %。主要原因是新增项目。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（八）资源勘探信息等支出16.31万元，较2015年决算数减少6.94万元，下降29.85 %。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（九）国土海洋气象等支出24.85万元，较2015年决算数增加3.86万元，增长18.39 %。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（十）住房保障支出53.68万元，较2015年决算数减少301.05万元，下降84.87 %。主要原因财政性住房保障支出减少。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六、政府性基金支出决算情况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2016年政府性基金支出106.39万元，比2015年决算数增加21.55万元，增长25.4 %，具体情况如下(按项级科目统计)：</w:t>
      </w:r>
    </w:p>
    <w:p w:rsidR="00A93D5C" w:rsidRDefault="00E61C19" w:rsidP="00E61C19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lastRenderedPageBreak/>
        <w:t>（一）其他支出106.39万元，较2015年决算数增加21.55万元，增长25.4 %。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七、“三公”经费公共财政拨款支出决算情况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2016年“三公”经费公共财政拨款支出561.26万元，同比增长17.13%。具体情况如下：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（一）因公出国（境）费493.27万元，主要用于教师教学与科研等学术交流。2016年本单位组织出国团组34个；全年因公出国（境）累计158人次。与2015年相比, 因公出国（境）经费支出增长19.96 %，主要是:学术研究出国经费增加。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二）公务用车购置及运行费18万元。其中：公务用车购置费0万元，2016年公务用车购置0辆。公务用车运行费18万元，主要用于公务用车燃油、维修、保险等方面支出，年末公务用车保有量10辆。与2015年相比，公务用车购置费和运行费持平。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（三）公务接待费50万元。主要用于校际之间学术交流，国内外专家等方面的接待活动，累计接待319批次、接待总人数3441人。与2015年相比, 公务接待费持平。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附件：1.收支决算总表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2.收入决算表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500" w:firstLine="160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3.支出决算表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500" w:firstLine="160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 财政拨款收入支出决算总表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500" w:firstLine="160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5.公共财政拨款支出决算表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500" w:firstLine="160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6.一般公共预算财政拨款支出决算明细表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500" w:firstLine="160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7.一般公共预算财政拨款基本支出决算表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500" w:firstLine="160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8.政府性基金预算财政拨款收入支出决算表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500" w:firstLine="160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9.部门决算相关信息统计表 </w:t>
      </w:r>
    </w:p>
    <w:p w:rsidR="00A93D5C" w:rsidRDefault="00E61C19" w:rsidP="00E61C19">
      <w:pPr>
        <w:widowControl/>
        <w:tabs>
          <w:tab w:val="left" w:pos="7513"/>
        </w:tabs>
        <w:adjustRightInd w:val="0"/>
        <w:snapToGrid w:val="0"/>
        <w:spacing w:before="100" w:beforeAutospacing="1" w:after="100" w:afterAutospacing="1" w:line="600" w:lineRule="exact"/>
        <w:ind w:firstLineChars="500" w:firstLine="160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10.政府采购情况表</w:t>
      </w:r>
    </w:p>
    <w:p w:rsidR="00A93D5C" w:rsidRDefault="00A93D5C"/>
    <w:sectPr w:rsidR="00A93D5C" w:rsidSect="00E61C19">
      <w:pgSz w:w="11906" w:h="16838"/>
      <w:pgMar w:top="1701" w:right="1531" w:bottom="1701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1" w:subsetted="1" w:fontKey="{4A0645FA-E1F9-42E2-9A86-26AE14E1AC8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F5A5D962-706C-4191-A731-4BE5419E0313}"/>
    <w:embedBold r:id="rId3" w:subsetted="1" w:fontKey="{A4AB9046-BC8E-4670-B87A-7C0E467C75A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74E"/>
    <w:rsid w:val="0000751E"/>
    <w:rsid w:val="00025F6B"/>
    <w:rsid w:val="000261DC"/>
    <w:rsid w:val="000B75FA"/>
    <w:rsid w:val="000D0665"/>
    <w:rsid w:val="00113ED7"/>
    <w:rsid w:val="00133ABE"/>
    <w:rsid w:val="001B2807"/>
    <w:rsid w:val="001B7BF7"/>
    <w:rsid w:val="002143B4"/>
    <w:rsid w:val="00293DAD"/>
    <w:rsid w:val="002E08DA"/>
    <w:rsid w:val="0031342F"/>
    <w:rsid w:val="004372DE"/>
    <w:rsid w:val="004A1727"/>
    <w:rsid w:val="00620BA5"/>
    <w:rsid w:val="00632B22"/>
    <w:rsid w:val="006E553A"/>
    <w:rsid w:val="007247C4"/>
    <w:rsid w:val="00731A27"/>
    <w:rsid w:val="007705B3"/>
    <w:rsid w:val="0083225B"/>
    <w:rsid w:val="008444DF"/>
    <w:rsid w:val="0088349D"/>
    <w:rsid w:val="008A4BE3"/>
    <w:rsid w:val="008D0557"/>
    <w:rsid w:val="008E6286"/>
    <w:rsid w:val="009110F3"/>
    <w:rsid w:val="009406D8"/>
    <w:rsid w:val="00973B26"/>
    <w:rsid w:val="009D5318"/>
    <w:rsid w:val="009F131A"/>
    <w:rsid w:val="00A23855"/>
    <w:rsid w:val="00A93D5C"/>
    <w:rsid w:val="00AA3E60"/>
    <w:rsid w:val="00B04A52"/>
    <w:rsid w:val="00B86D4A"/>
    <w:rsid w:val="00B92399"/>
    <w:rsid w:val="00BA4F47"/>
    <w:rsid w:val="00BD4A0D"/>
    <w:rsid w:val="00C87BED"/>
    <w:rsid w:val="00CD3307"/>
    <w:rsid w:val="00D70059"/>
    <w:rsid w:val="00DA38E9"/>
    <w:rsid w:val="00DE10B3"/>
    <w:rsid w:val="00E5574E"/>
    <w:rsid w:val="00E61C19"/>
    <w:rsid w:val="00EC66BD"/>
    <w:rsid w:val="00ED464C"/>
    <w:rsid w:val="00F526E5"/>
    <w:rsid w:val="00FC05D1"/>
    <w:rsid w:val="0D604509"/>
    <w:rsid w:val="2D900BC7"/>
    <w:rsid w:val="2FA66C67"/>
    <w:rsid w:val="38ED1705"/>
    <w:rsid w:val="55C866BC"/>
    <w:rsid w:val="61FA112F"/>
    <w:rsid w:val="63A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259E3A-FF8B-4E54-9098-50BC3A7C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569</Words>
  <Characters>3246</Characters>
  <Application>Microsoft Office Word</Application>
  <DocSecurity>0</DocSecurity>
  <Lines>27</Lines>
  <Paragraphs>7</Paragraphs>
  <ScaleCrop>false</ScaleCrop>
  <Company>微软中国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王佳</cp:lastModifiedBy>
  <cp:revision>25</cp:revision>
  <cp:lastPrinted>2017-09-18T06:15:00Z</cp:lastPrinted>
  <dcterms:created xsi:type="dcterms:W3CDTF">2017-09-13T08:05:00Z</dcterms:created>
  <dcterms:modified xsi:type="dcterms:W3CDTF">2017-09-25T09:03:00Z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